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67525C">
        <w:rPr>
          <w:b/>
          <w:sz w:val="24"/>
          <w:szCs w:val="24"/>
        </w:rPr>
        <w:t xml:space="preserve">Основная </w:t>
      </w:r>
      <w:r>
        <w:rPr>
          <w:b/>
          <w:sz w:val="24"/>
          <w:szCs w:val="24"/>
        </w:rPr>
        <w:t>общеобразовательная школа</w:t>
      </w:r>
      <w:r w:rsidR="0067525C">
        <w:rPr>
          <w:b/>
          <w:sz w:val="24"/>
          <w:szCs w:val="24"/>
        </w:rPr>
        <w:t xml:space="preserve"> </w:t>
      </w:r>
      <w:r w:rsidR="0067525C" w:rsidRPr="0067525C">
        <w:rPr>
          <w:b/>
          <w:sz w:val="24"/>
          <w:szCs w:val="24"/>
        </w:rPr>
        <w:t>"Квант"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67525C" w:rsidRPr="0067525C">
        <w:rPr>
          <w:b/>
          <w:sz w:val="24"/>
          <w:szCs w:val="24"/>
        </w:rPr>
        <w:t>г</w:t>
      </w:r>
      <w:proofErr w:type="gramStart"/>
      <w:r w:rsidR="0067525C" w:rsidRPr="0067525C">
        <w:rPr>
          <w:b/>
          <w:sz w:val="24"/>
          <w:szCs w:val="24"/>
        </w:rPr>
        <w:t>.М</w:t>
      </w:r>
      <w:proofErr w:type="gramEnd"/>
      <w:r w:rsidR="0067525C" w:rsidRPr="0067525C">
        <w:rPr>
          <w:b/>
          <w:sz w:val="24"/>
          <w:szCs w:val="24"/>
        </w:rPr>
        <w:t>ахачкала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r w:rsidR="0067525C" w:rsidRPr="00706CDB">
        <w:t xml:space="preserve">Основная </w:t>
      </w:r>
      <w:r>
        <w:t>общеобразовательная школа</w:t>
      </w:r>
      <w:r w:rsidR="0067525C">
        <w:t xml:space="preserve"> «</w:t>
      </w:r>
      <w:r w:rsidR="0067525C" w:rsidRPr="0067525C">
        <w:t>Квант</w:t>
      </w:r>
      <w:r>
        <w:t xml:space="preserve">» </w:t>
      </w:r>
      <w:r w:rsidR="0067525C">
        <w:t>г</w:t>
      </w:r>
      <w:proofErr w:type="gramStart"/>
      <w:r w:rsidR="0067525C">
        <w:t>.М</w:t>
      </w:r>
      <w:proofErr w:type="gramEnd"/>
      <w:r w:rsidR="0067525C">
        <w:t xml:space="preserve">ахачкалы </w:t>
      </w:r>
      <w:r w:rsidR="00795002">
        <w:t xml:space="preserve">от </w:t>
      </w:r>
      <w:r w:rsidR="0067525C" w:rsidRPr="0067525C">
        <w:t>20.02.2017</w:t>
      </w:r>
      <w:r w:rsidR="0067525C">
        <w:t xml:space="preserve"> </w:t>
      </w:r>
      <w:r w:rsidRPr="00BA6761">
        <w:t xml:space="preserve">г. № </w:t>
      </w:r>
      <w:r w:rsidR="0067525C">
        <w:t>596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3A5947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3A5947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3457"/>
    <w:rsid w:val="000053FE"/>
    <w:rsid w:val="0002705D"/>
    <w:rsid w:val="00132598"/>
    <w:rsid w:val="00161CE9"/>
    <w:rsid w:val="0017772B"/>
    <w:rsid w:val="0019527F"/>
    <w:rsid w:val="001D12B2"/>
    <w:rsid w:val="00240AF9"/>
    <w:rsid w:val="003656E0"/>
    <w:rsid w:val="00385F65"/>
    <w:rsid w:val="003A5947"/>
    <w:rsid w:val="00403E77"/>
    <w:rsid w:val="004F59BB"/>
    <w:rsid w:val="005B221E"/>
    <w:rsid w:val="005E6E24"/>
    <w:rsid w:val="006719FA"/>
    <w:rsid w:val="0067525C"/>
    <w:rsid w:val="00706CDB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B1CB2"/>
    <w:rsid w:val="009F4E6F"/>
    <w:rsid w:val="00A40B7A"/>
    <w:rsid w:val="00A461C0"/>
    <w:rsid w:val="00A46724"/>
    <w:rsid w:val="00A810C3"/>
    <w:rsid w:val="00AF140F"/>
    <w:rsid w:val="00BB3356"/>
    <w:rsid w:val="00C07F0D"/>
    <w:rsid w:val="00CB260D"/>
    <w:rsid w:val="00CB485A"/>
    <w:rsid w:val="00CF765D"/>
    <w:rsid w:val="00D170A7"/>
    <w:rsid w:val="00D40B86"/>
    <w:rsid w:val="00DB0F90"/>
    <w:rsid w:val="00DC1F51"/>
    <w:rsid w:val="00DE6F82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40</cp:revision>
  <dcterms:created xsi:type="dcterms:W3CDTF">2014-11-18T08:25:00Z</dcterms:created>
  <dcterms:modified xsi:type="dcterms:W3CDTF">2017-12-03T04:56:00Z</dcterms:modified>
</cp:coreProperties>
</file>